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7">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Stellar NXT30L Hooklift </w:t>
      </w:r>
      <w:r w:rsidDel="00000000" w:rsidR="00000000" w:rsidRPr="00000000">
        <w:rPr>
          <w:rtl w:val="0"/>
        </w:rPr>
      </w:r>
    </w:p>
    <w:p w:rsidR="00000000" w:rsidDel="00000000" w:rsidP="00000000" w:rsidRDefault="00000000" w:rsidRPr="00000000" w14:paraId="0000000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The NXT30 model features Short (S), Medium (M) and Long (L) options, designed to fit various container lengths and adjustable hook heights of 36" to 54" or 54" to 62" to suit different operational needs. This marks the first time Stellar has utilized the S, M and L system, offering more customization than ever before.</w:t>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sz w:val="20"/>
          <w:szCs w:val="20"/>
          <w:rtl w:val="0"/>
        </w:rPr>
        <w:t xml:space="preserve">The new NXT30 Hooklift, offers load capacities up to 30,000 lbs. The NXT30S accommodates containers from 10' to 14' in length, while the NXT30M supports containers from 12' to 16’. The NXT30L model handles containers from 14’ to 18'. Designed with industry-leading lost load heights of 8” to 9”, the NXT30 ensures maximum effectiveness and resilience, meeting the diverse needs of material handling and equipment transport in the landscaping industry. </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Like all NXT Series hooklifts, the NXT30 is equipped with a universal body latching system, a universal hydraulic reservoir, and soft-stop features on the lift cylinder. Operators can also choose from optional cable controls, air controls, electronic joystick or electronic radio remote controls for precise and convenient operation.</w:t>
      </w:r>
    </w:p>
    <w:p w:rsidR="00000000" w:rsidDel="00000000" w:rsidP="00000000" w:rsidRDefault="00000000" w:rsidRPr="00000000" w14:paraId="0000000E">
      <w:pPr>
        <w:rPr>
          <w:rFonts w:ascii="Roboto" w:cs="Roboto" w:eastAsia="Roboto" w:hAnsi="Roboto"/>
          <w:color w:val="444746"/>
          <w:sz w:val="21"/>
          <w:szCs w:val="21"/>
        </w:rPr>
      </w:pPr>
      <w:r w:rsidDel="00000000" w:rsidR="00000000" w:rsidRPr="00000000">
        <w:rPr>
          <w:rtl w:val="0"/>
        </w:rPr>
      </w:r>
    </w:p>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visit</w:t>
      </w:r>
      <w:r w:rsidDel="00000000" w:rsidR="00000000" w:rsidRPr="00000000">
        <w:rPr>
          <w:rFonts w:ascii="Arial" w:cs="Arial" w:eastAsia="Arial" w:hAnsi="Arial"/>
          <w:sz w:val="20"/>
          <w:szCs w:val="20"/>
          <w:rtl w:val="0"/>
        </w:rPr>
        <w:t xml:space="preserve"> </w:t>
      </w:r>
      <w:hyperlink r:id="rId8">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2">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rPr>
          <w:rFonts w:ascii="Arial" w:cs="Arial" w:eastAsia="Arial" w:hAnsi="Arial"/>
          <w:sz w:val="20"/>
          <w:szCs w:val="20"/>
        </w:rPr>
      </w:pPr>
      <w:r w:rsidDel="00000000" w:rsidR="00000000" w:rsidRPr="00000000">
        <w:rPr>
          <w:rFonts w:ascii="Arial" w:cs="Arial" w:eastAsia="Arial" w:hAnsi="Arial"/>
          <w:i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service cranes and accessories, in addition to trailers.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8254328" cy="741436"/>
          <wp:effectExtent b="0" l="0" r="0" t="0"/>
          <wp:docPr id="12" name="image2.png"/>
          <a:graphic>
            <a:graphicData uri="http://schemas.openxmlformats.org/drawingml/2006/picture">
              <pic:pic>
                <pic:nvPicPr>
                  <pic:cNvPr id="0" name="image2.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i w:val="0"/>
              <w:smallCaps w:val="0"/>
              <w:strike w:val="0"/>
              <w:color w:val="4d4d4c"/>
              <w:sz w:val="20"/>
              <w:szCs w:val="20"/>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i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1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www.stellarindustrie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ahIRRmuRq/cGgvw3LqCf7RWmvA==">CgMxLjA4AHIhMUVPV1dXMWk2TmZiT0xfS0tmckVuV3MyTkExUUF0QW0x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